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FD1145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3</w:t>
      </w: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ongoing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0249D3" w:rsidRPr="00773DC7" w:rsidRDefault="000249D3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Pr="00773DC7" w:rsidRDefault="006B6F0B" w:rsidP="000249D3">
            <w:pPr>
              <w:rPr>
                <w:rFonts w:ascii="Arial" w:hAnsi="Arial" w:cs="Arial"/>
              </w:rPr>
            </w:pPr>
          </w:p>
          <w:p w:rsidR="006B6F0B" w:rsidRPr="00773DC7" w:rsidRDefault="006B6F0B" w:rsidP="000249D3">
            <w:pPr>
              <w:rPr>
                <w:rFonts w:ascii="Arial" w:hAnsi="Arial" w:cs="Arial"/>
              </w:rPr>
            </w:pPr>
          </w:p>
          <w:p w:rsidR="006B6F0B" w:rsidRPr="00773DC7" w:rsidRDefault="006B6F0B" w:rsidP="000249D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0249D3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This is a new strategy and it does not affect current council policies or procedures.   It sets out the strategic management of the housing stock to maximise the </w:t>
            </w:r>
            <w:r w:rsidR="00DD083E">
              <w:rPr>
                <w:rFonts w:ascii="Arial" w:hAnsi="Arial" w:cs="Arial"/>
                <w:bCs/>
                <w:lang w:eastAsia="en-GB"/>
              </w:rPr>
              <w:t>benefit for</w:t>
            </w: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DD083E">
              <w:rPr>
                <w:rFonts w:ascii="Arial" w:hAnsi="Arial" w:cs="Arial"/>
                <w:bCs/>
                <w:lang w:eastAsia="en-GB"/>
              </w:rPr>
              <w:t xml:space="preserve">existing and future </w:t>
            </w:r>
            <w:r>
              <w:rPr>
                <w:rFonts w:ascii="Arial" w:hAnsi="Arial" w:cs="Arial"/>
                <w:bCs/>
                <w:lang w:eastAsia="en-GB"/>
              </w:rPr>
              <w:t xml:space="preserve">council tenants and will operate within the legal </w:t>
            </w:r>
            <w:r w:rsidR="00DD083E">
              <w:rPr>
                <w:rFonts w:ascii="Arial" w:hAnsi="Arial" w:cs="Arial"/>
                <w:bCs/>
                <w:lang w:eastAsia="en-GB"/>
              </w:rPr>
              <w:t>obligations to council tenants.</w:t>
            </w:r>
            <w:r>
              <w:rPr>
                <w:rFonts w:ascii="Arial" w:hAnsi="Arial" w:cs="Arial"/>
                <w:bCs/>
                <w:lang w:eastAsia="en-GB"/>
              </w:rPr>
              <w:t xml:space="preserve">  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Any major decisions arising as a result of implementing the strategy will be subject to consultation with tenants and separate CEB approval.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action plan within the strategy document  will be overseen by the Head of Housing and Property Services</w:t>
            </w:r>
          </w:p>
          <w:p w:rsidR="00DD083E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DD083E" w:rsidRPr="00773DC7" w:rsidRDefault="00DD083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DD083E" w:rsidRDefault="00DD083E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DD083E" w:rsidRPr="00390482" w:rsidRDefault="00DD083E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A0A6E" w:rsidRDefault="00CA0A6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 development of the strategy a scrutiny panel consisting of members and tenants were consulted.</w:t>
            </w:r>
            <w:r w:rsidR="00EC152E">
              <w:rPr>
                <w:rFonts w:ascii="Arial" w:hAnsi="Arial" w:cs="Arial"/>
              </w:rPr>
              <w:t xml:space="preserve">  The results and recommendations from the panel are included in a separate paper to CEB.</w:t>
            </w:r>
          </w:p>
          <w:p w:rsidR="00EC152E" w:rsidRDefault="00EC152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EC152E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part of the implementation of the strategy </w:t>
            </w:r>
            <w:r w:rsidR="00262D1E">
              <w:rPr>
                <w:rFonts w:ascii="Arial" w:hAnsi="Arial" w:cs="Arial"/>
              </w:rPr>
              <w:t>it is intended that residents directly affected by any actions arising from the strategy will be consulted individually and as a group as appropriate.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262D1E" w:rsidRPr="00773DC7" w:rsidRDefault="00262D1E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There are no adverse impacts identified at this stage.  </w:t>
            </w:r>
          </w:p>
          <w:p w:rsidR="006B6F0B" w:rsidRPr="00773DC7" w:rsidRDefault="006B6F0B" w:rsidP="000249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0249D3">
        <w:tc>
          <w:tcPr>
            <w:tcW w:w="8522" w:type="dxa"/>
            <w:shd w:val="clear" w:color="auto" w:fill="auto"/>
          </w:tcPr>
          <w:p w:rsidR="006B6F0B" w:rsidRDefault="006B6F0B" w:rsidP="000249D3">
            <w:pPr>
              <w:rPr>
                <w:lang w:eastAsia="en-GB"/>
              </w:rPr>
            </w:pPr>
          </w:p>
          <w:p w:rsidR="006B6F0B" w:rsidRPr="00262D1E" w:rsidRDefault="00262D1E" w:rsidP="000249D3">
            <w:pPr>
              <w:rPr>
                <w:rFonts w:ascii="Arial" w:hAnsi="Arial" w:cs="Arial"/>
                <w:lang w:eastAsia="en-GB"/>
              </w:rPr>
            </w:pPr>
            <w:r w:rsidRPr="00262D1E">
              <w:rPr>
                <w:rFonts w:ascii="Arial" w:hAnsi="Arial" w:cs="Arial"/>
                <w:lang w:eastAsia="en-GB"/>
              </w:rPr>
              <w:t>The Asset Management Strategy sets out an approach to managing the housing stock into the future.</w:t>
            </w:r>
            <w:r>
              <w:rPr>
                <w:rFonts w:ascii="Arial" w:hAnsi="Arial" w:cs="Arial"/>
                <w:lang w:eastAsia="en-GB"/>
              </w:rPr>
              <w:t xml:space="preserve">  Any actions arising from the strategy will be subject to separate approval and assessment.</w:t>
            </w: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  <w:p w:rsidR="006B6F0B" w:rsidRDefault="006B6F0B" w:rsidP="000249D3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Lead officer responsible for signing off the EqIA: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262D1E">
        <w:rPr>
          <w:rFonts w:ascii="Arial" w:hAnsi="Arial" w:cs="Arial"/>
        </w:rPr>
        <w:t xml:space="preserve"> Stephen Clarke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Date:   </w:t>
      </w:r>
      <w:r w:rsidR="00262D1E">
        <w:rPr>
          <w:rFonts w:ascii="Arial" w:hAnsi="Arial" w:cs="Arial"/>
        </w:rPr>
        <w:t>11 November 2014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45" w:rsidRDefault="00FD1145" w:rsidP="00B21479">
      <w:r>
        <w:separator/>
      </w:r>
    </w:p>
  </w:endnote>
  <w:endnote w:type="continuationSeparator" w:id="0">
    <w:p w:rsidR="00FD1145" w:rsidRDefault="00FD1145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Pr="000B0D2A" w:rsidRDefault="00EC152E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HR&amp;F3</w:t>
    </w:r>
    <w:r>
      <w:rPr>
        <w:rFonts w:ascii="Arial" w:hAnsi="Arial" w:cs="Arial"/>
        <w:sz w:val="20"/>
        <w:szCs w:val="20"/>
      </w:rPr>
      <w:t>029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>
      <w:rPr>
        <w:rFonts w:ascii="Arial" w:hAnsi="Arial" w:cs="Arial"/>
        <w:sz w:val="20"/>
        <w:szCs w:val="20"/>
      </w:rPr>
      <w:t>08/08/14</w:t>
    </w:r>
    <w:r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FD1145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FD1145">
      <w:rPr>
        <w:rFonts w:ascii="Arial" w:hAnsi="Arial" w:cs="Arial"/>
        <w:b/>
        <w:bCs/>
        <w:noProof/>
        <w:sz w:val="20"/>
        <w:szCs w:val="20"/>
      </w:rPr>
      <w:t>4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45" w:rsidRDefault="00FD1145" w:rsidP="00B21479">
      <w:r>
        <w:separator/>
      </w:r>
    </w:p>
  </w:footnote>
  <w:footnote w:type="continuationSeparator" w:id="0">
    <w:p w:rsidR="00FD1145" w:rsidRDefault="00FD1145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2E" w:rsidRDefault="00EC1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45"/>
    <w:rsid w:val="000249D3"/>
    <w:rsid w:val="000B0D2A"/>
    <w:rsid w:val="000B4310"/>
    <w:rsid w:val="00262D1E"/>
    <w:rsid w:val="004000D7"/>
    <w:rsid w:val="00504E43"/>
    <w:rsid w:val="005B53A4"/>
    <w:rsid w:val="006170F6"/>
    <w:rsid w:val="006B6F0B"/>
    <w:rsid w:val="007908F4"/>
    <w:rsid w:val="008A22C6"/>
    <w:rsid w:val="009344AE"/>
    <w:rsid w:val="00B21479"/>
    <w:rsid w:val="00C07F80"/>
    <w:rsid w:val="00CA0A6E"/>
    <w:rsid w:val="00CE1DAB"/>
    <w:rsid w:val="00D55026"/>
    <w:rsid w:val="00DD083E"/>
    <w:rsid w:val="00EC152E"/>
    <w:rsid w:val="00F166B4"/>
    <w:rsid w:val="00F72227"/>
    <w:rsid w:val="00FD114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Clarke\AppData\Local\Microsoft\Windows\Temporary%20Internet%20Files\Content.Outlook\XBPHK0XJ\Initial%20Equalities%20Impact%20Assessment%20Screening%20Form_3029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BFDD-ECA6-438C-9BB7-E5614EF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 0</Template>
  <TotalTime>1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Stephen.Clarke</dc:creator>
  <cp:lastModifiedBy>Stephen.Clarke</cp:lastModifiedBy>
  <cp:revision>1</cp:revision>
  <dcterms:created xsi:type="dcterms:W3CDTF">2015-04-17T07:57:00Z</dcterms:created>
  <dcterms:modified xsi:type="dcterms:W3CDTF">2015-04-17T07:58:00Z</dcterms:modified>
</cp:coreProperties>
</file>